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28"/>
          <w:szCs w:val="28"/>
        </w:rPr>
      </w:pPr>
      <w:r w:rsidDel="00000000" w:rsidR="00000000" w:rsidRPr="00000000">
        <w:rPr>
          <w:b w:val="1"/>
          <w:sz w:val="28"/>
          <w:szCs w:val="28"/>
          <w:rtl w:val="0"/>
        </w:rPr>
        <w:t xml:space="preserve">Uyuşturucuyla ve Bağımlılıkla Mücadele Komisyonu 2. Dönem Başı Toplantı Tutanakları</w:t>
      </w:r>
    </w:p>
    <w:p w:rsidR="00000000" w:rsidDel="00000000" w:rsidP="00000000" w:rsidRDefault="00000000" w:rsidRPr="00000000" w14:paraId="00000001">
      <w:pPr>
        <w:spacing w:line="360" w:lineRule="auto"/>
        <w:contextualSpacing w:val="0"/>
        <w:rPr/>
      </w:pPr>
      <w:r w:rsidDel="00000000" w:rsidR="00000000" w:rsidRPr="00000000">
        <w:rPr>
          <w:rtl w:val="0"/>
        </w:rPr>
      </w:r>
    </w:p>
    <w:p w:rsidR="00000000" w:rsidDel="00000000" w:rsidP="00000000" w:rsidRDefault="00000000" w:rsidRPr="00000000" w14:paraId="00000002">
      <w:pPr>
        <w:spacing w:line="360" w:lineRule="auto"/>
        <w:contextualSpacing w:val="0"/>
        <w:rPr>
          <w:b w:val="1"/>
        </w:rPr>
      </w:pPr>
      <w:r w:rsidDel="00000000" w:rsidR="00000000" w:rsidRPr="00000000">
        <w:rPr>
          <w:b w:val="1"/>
          <w:rtl w:val="0"/>
        </w:rPr>
        <w:t xml:space="preserve">Gündem Maddeleri</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Karar verme sürecinde öğrenci aile ve öğretmenlerin tam katılımının sağlanması</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giriş çıkışlarının kontrol altına alınması (okul güvenliğinin sağlanması)</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2014/20 sayılı genelge çerçevesinde yapılan çalışmalara ait raporun Rehberlik Araştırma Merkezine gönderilmesi</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Şiddete tanık olan şiddete maruz kalan öğrencilerin bireysel ve grupla danışma sürecine alınması ve ailesi ile iş birliği yapılması gerekirse sağlık kurumlarına yönlendirilmesi</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Ailelerin çocuklarını izlemeleri, arkadaşlarını tanımalarını çocuklar ile doğru iletişim kurmaları onların yanında olduklarını göstermeleri Çocukların bilgisayar ve televizyon bağımlılığı konusunda bilgilendirilmesi</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Öğrencilere, arkadaş ilişkileri, etkili reddetme davranışı ‘Hayır Diyebilme’ akran baskısına karşı koyma konularında eğitimler verilerek yaşam becerilerinin geliştirilmesi</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 ve kaygı ile baş etme yolları konulu seminer çalışmasının yapılması</w:t>
      </w:r>
    </w:p>
    <w:p w:rsidR="00000000" w:rsidDel="00000000" w:rsidP="00000000" w:rsidRDefault="00000000" w:rsidRPr="00000000" w14:paraId="0000000A">
      <w:pPr>
        <w:spacing w:line="360" w:lineRule="auto"/>
        <w:contextualSpacing w:val="0"/>
        <w:rPr/>
      </w:pPr>
      <w:r w:rsidDel="00000000" w:rsidR="00000000" w:rsidRPr="00000000">
        <w:rPr>
          <w:rtl w:val="0"/>
        </w:rPr>
      </w:r>
    </w:p>
    <w:p w:rsidR="00000000" w:rsidDel="00000000" w:rsidP="00000000" w:rsidRDefault="00000000" w:rsidRPr="00000000" w14:paraId="0000000B">
      <w:pPr>
        <w:spacing w:line="360" w:lineRule="auto"/>
        <w:contextualSpacing w:val="0"/>
        <w:rPr/>
      </w:pPr>
      <w:r w:rsidDel="00000000" w:rsidR="00000000" w:rsidRPr="00000000">
        <w:rPr>
          <w:rtl w:val="0"/>
        </w:rPr>
      </w:r>
    </w:p>
    <w:p w:rsidR="00000000" w:rsidDel="00000000" w:rsidP="00000000" w:rsidRDefault="00000000" w:rsidRPr="00000000" w14:paraId="0000000C">
      <w:pPr>
        <w:spacing w:line="360" w:lineRule="auto"/>
        <w:contextualSpacing w:val="0"/>
        <w:rPr>
          <w:b w:val="1"/>
        </w:rPr>
      </w:pPr>
      <w:r w:rsidDel="00000000" w:rsidR="00000000" w:rsidRPr="00000000">
        <w:rPr>
          <w:b w:val="1"/>
          <w:rtl w:val="0"/>
        </w:rPr>
        <w:t xml:space="preserve">Alınan Kararlar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Ailelerin çocuklarını izlemeleri, arkadaş çevrelerini tanımaları, çocukları ile doğru iletişim kurmaları, doğru internet ve bilgisayar kullanımı konularında seminer, toplantı, afiş, broşür vb. şekilde desteklenmesi,</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Özellikle küçük yaştaki çocukların ‘hayır’ diyebilme, akran baskısına karşı koyma, çatışma çözme becerilerini geliştirme, stresle başa çıkma, öfke yönetimi, gibi konularda eğitimler verilmesine,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çevrelerindeki bakkal, büfe, kahvehane gibi yerlerde sigara ve alkollü maddelerin satılmasının engellenmesi, seyyar satıcıların önlenmesi, virane kalmış mekanların belirlenmesi gerekirse yıkılması için belediye, kolluk kuvvetleri, yerel yönetimlerle iş birliğine geçmek,</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 ortamında kullanılan kimyasal madde ve koku içeren eğitim araç ve gereçlerinin kullanılmaması, genel veya kısmi havalandırma alanlarının bulundurulması konusunda okul yönetiminin uyarılması,</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kantinlerinde tütün ve tütün bağımlılığını çağrıştıracak sakız, şeker, çerez, takı, aksesuar gibi malzemelerin satılmasının önlenmesi,</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Öğretmen ve yöneticilerin, öğrencilere model olmaları bakımından, öğrencilerin görebileceği yerlerde tütün ve tütün mamullerini kullanılmamasının sağlanması kararları alınmıştır.</w:t>
      </w:r>
    </w:p>
    <w:p w:rsidR="00000000" w:rsidDel="00000000" w:rsidP="00000000" w:rsidRDefault="00000000" w:rsidRPr="00000000" w14:paraId="00000014">
      <w:pPr>
        <w:spacing w:line="360" w:lineRule="auto"/>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5">
      <w:pPr>
        <w:spacing w:line="360" w:lineRule="auto"/>
        <w:contextualSpacing w:val="0"/>
        <w:rPr>
          <w:b w:val="1"/>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b w:val="1"/>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5516"/>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C101D9"/>
    <w:pPr>
      <w:ind w:left="720"/>
      <w:contextualSpacing w:val="1"/>
    </w:pPr>
  </w:style>
  <w:style w:type="table" w:styleId="TabloKlavuzu">
    <w:name w:val="Table Grid"/>
    <w:basedOn w:val="NormalTablo"/>
    <w:uiPriority w:val="59"/>
    <w:rsid w:val="00C101D9"/>
    <w:pPr>
      <w:spacing w:after="0" w:line="240" w:lineRule="auto"/>
    </w:pPr>
    <w:rPr>
      <w:rFonts w:asciiTheme="minorHAnsi" w:hAnsiTheme="minorHAnsi"/>
      <w:sz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pr">
    <w:name w:val="Hyperlink"/>
    <w:basedOn w:val="VarsaylanParagrafYazTipi"/>
    <w:uiPriority w:val="99"/>
    <w:semiHidden w:val="1"/>
    <w:unhideWhenUsed w:val="1"/>
    <w:rsid w:val="00681C9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